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7" w:type="pct"/>
        <w:tblInd w:w="-34" w:type="dxa"/>
        <w:tblLayout w:type="fixed"/>
        <w:tblLook w:val="0000" w:firstRow="0" w:lastRow="0" w:firstColumn="0" w:lastColumn="0" w:noHBand="0" w:noVBand="0"/>
      </w:tblPr>
      <w:tblGrid>
        <w:gridCol w:w="4292"/>
        <w:gridCol w:w="1602"/>
        <w:gridCol w:w="3995"/>
      </w:tblGrid>
      <w:tr w:rsidR="0076497B" w:rsidRPr="00B66F3F" w:rsidTr="007876B4">
        <w:tc>
          <w:tcPr>
            <w:tcW w:w="4288" w:type="dxa"/>
            <w:shd w:val="clear" w:color="auto" w:fill="auto"/>
          </w:tcPr>
          <w:p w:rsidR="0076497B" w:rsidRPr="00B66F3F" w:rsidRDefault="0076497B" w:rsidP="007876B4">
            <w:pPr>
              <w:widowControl w:val="0"/>
              <w:suppressAutoHyphens/>
              <w:ind w:left="-108" w:right="85"/>
              <w:rPr>
                <w:rFonts w:ascii="Times New Roman" w:eastAsia="Times New Roman" w:hAnsi="Times New Roman" w:cs="Times New Roman"/>
                <w:sz w:val="24"/>
                <w:szCs w:val="24"/>
                <w:lang w:eastAsia="zh-CN"/>
              </w:rPr>
            </w:pPr>
            <w:r w:rsidRPr="00B66F3F">
              <w:rPr>
                <w:rFonts w:ascii="Times New Roman" w:eastAsia="Calibri" w:hAnsi="Times New Roman" w:cs="Times New Roman"/>
                <w:bCs/>
                <w:sz w:val="28"/>
                <w:szCs w:val="28"/>
              </w:rPr>
              <w:t>СХВАЛЕНО</w:t>
            </w:r>
          </w:p>
          <w:p w:rsidR="00F8025C" w:rsidRDefault="0076497B" w:rsidP="00F8025C">
            <w:pPr>
              <w:widowControl w:val="0"/>
              <w:shd w:val="clear" w:color="auto" w:fill="FFFFFF"/>
              <w:suppressAutoHyphens/>
              <w:ind w:left="-108"/>
              <w:rPr>
                <w:rFonts w:ascii="Times New Roman" w:eastAsia="Times New Roman" w:hAnsi="Times New Roman" w:cs="Times New Roman"/>
                <w:sz w:val="24"/>
                <w:szCs w:val="24"/>
                <w:lang w:eastAsia="zh-CN"/>
              </w:rPr>
            </w:pPr>
            <w:r w:rsidRPr="00B66F3F">
              <w:rPr>
                <w:rFonts w:ascii="Times New Roman" w:eastAsia="Calibri" w:hAnsi="Times New Roman" w:cs="Times New Roman"/>
                <w:bCs/>
                <w:sz w:val="28"/>
                <w:szCs w:val="28"/>
              </w:rPr>
              <w:t>П</w:t>
            </w:r>
            <w:r w:rsidR="00F8025C">
              <w:rPr>
                <w:rFonts w:ascii="Times New Roman" w:eastAsia="Calibri" w:hAnsi="Times New Roman" w:cs="Times New Roman"/>
                <w:bCs/>
                <w:sz w:val="28"/>
                <w:szCs w:val="28"/>
              </w:rPr>
              <w:t>ротокол засідання педагогічної</w:t>
            </w:r>
            <w:r w:rsidRPr="00B66F3F">
              <w:rPr>
                <w:rFonts w:ascii="Times New Roman" w:eastAsia="Calibri" w:hAnsi="Times New Roman" w:cs="Times New Roman"/>
                <w:bCs/>
                <w:sz w:val="28"/>
                <w:szCs w:val="28"/>
              </w:rPr>
              <w:t xml:space="preserve"> рад</w:t>
            </w:r>
            <w:r w:rsidR="00F8025C">
              <w:rPr>
                <w:rFonts w:ascii="Times New Roman" w:eastAsia="Calibri" w:hAnsi="Times New Roman" w:cs="Times New Roman"/>
                <w:bCs/>
                <w:sz w:val="28"/>
                <w:szCs w:val="28"/>
              </w:rPr>
              <w:t>и</w:t>
            </w:r>
            <w:r w:rsidRPr="00B66F3F">
              <w:rPr>
                <w:rFonts w:ascii="Times New Roman" w:eastAsia="Calibri" w:hAnsi="Times New Roman" w:cs="Times New Roman"/>
                <w:bCs/>
                <w:sz w:val="28"/>
                <w:szCs w:val="28"/>
              </w:rPr>
              <w:t xml:space="preserve"> </w:t>
            </w:r>
            <w:r w:rsidRPr="00B66F3F">
              <w:rPr>
                <w:rFonts w:ascii="Times New Roman" w:eastAsia="Calibri" w:hAnsi="Times New Roman" w:cs="Times New Roman"/>
                <w:sz w:val="28"/>
                <w:szCs w:val="28"/>
              </w:rPr>
              <w:t>Павлівського ліцею Волинської області</w:t>
            </w:r>
          </w:p>
          <w:p w:rsidR="0076497B" w:rsidRPr="00B66F3F" w:rsidRDefault="0076497B" w:rsidP="00F8025C">
            <w:pPr>
              <w:widowControl w:val="0"/>
              <w:shd w:val="clear" w:color="auto" w:fill="FFFFFF"/>
              <w:suppressAutoHyphens/>
              <w:ind w:left="-108"/>
              <w:rPr>
                <w:rFonts w:ascii="Times New Roman" w:eastAsia="Times New Roman" w:hAnsi="Times New Roman" w:cs="Times New Roman"/>
                <w:sz w:val="24"/>
                <w:szCs w:val="24"/>
                <w:lang w:eastAsia="zh-CN"/>
              </w:rPr>
            </w:pPr>
            <w:r>
              <w:rPr>
                <w:rFonts w:ascii="Times New Roman" w:eastAsia="Calibri" w:hAnsi="Times New Roman" w:cs="Times New Roman"/>
                <w:sz w:val="28"/>
                <w:szCs w:val="28"/>
                <w:lang w:val="ru-RU"/>
              </w:rPr>
              <w:t>21.12</w:t>
            </w:r>
            <w:r w:rsidR="00F8025C">
              <w:rPr>
                <w:rFonts w:ascii="Times New Roman" w:eastAsia="Calibri" w:hAnsi="Times New Roman" w:cs="Times New Roman"/>
                <w:sz w:val="28"/>
                <w:szCs w:val="28"/>
                <w:lang w:val="ru-RU"/>
              </w:rPr>
              <w:t>.2020 № 3</w:t>
            </w:r>
          </w:p>
          <w:p w:rsidR="0076497B" w:rsidRPr="00B66F3F" w:rsidRDefault="0076497B" w:rsidP="007876B4">
            <w:pPr>
              <w:widowControl w:val="0"/>
              <w:suppressAutoHyphens/>
              <w:ind w:right="85"/>
              <w:rPr>
                <w:rFonts w:ascii="Times New Roman" w:eastAsia="Calibri" w:hAnsi="Times New Roman" w:cs="Times New Roman"/>
                <w:bCs/>
                <w:sz w:val="28"/>
                <w:szCs w:val="28"/>
                <w:lang w:val="ru-RU"/>
              </w:rPr>
            </w:pPr>
          </w:p>
        </w:tc>
        <w:tc>
          <w:tcPr>
            <w:tcW w:w="1601" w:type="dxa"/>
            <w:shd w:val="clear" w:color="auto" w:fill="auto"/>
          </w:tcPr>
          <w:p w:rsidR="0076497B" w:rsidRPr="00B66F3F" w:rsidRDefault="0076497B" w:rsidP="007876B4">
            <w:pPr>
              <w:widowControl w:val="0"/>
              <w:suppressAutoHyphens/>
              <w:snapToGrid w:val="0"/>
              <w:ind w:right="85"/>
              <w:jc w:val="center"/>
              <w:rPr>
                <w:rFonts w:ascii="Times New Roman" w:eastAsia="Calibri" w:hAnsi="Times New Roman" w:cs="Times New Roman"/>
                <w:bCs/>
                <w:sz w:val="28"/>
                <w:szCs w:val="28"/>
                <w:lang w:val="ru-RU"/>
              </w:rPr>
            </w:pPr>
          </w:p>
        </w:tc>
        <w:tc>
          <w:tcPr>
            <w:tcW w:w="3992" w:type="dxa"/>
            <w:shd w:val="clear" w:color="auto" w:fill="auto"/>
          </w:tcPr>
          <w:p w:rsidR="0076497B" w:rsidRPr="00B66F3F" w:rsidRDefault="0076497B" w:rsidP="007876B4">
            <w:pPr>
              <w:widowControl w:val="0"/>
              <w:suppressAutoHyphens/>
              <w:rPr>
                <w:rFonts w:ascii="Times New Roman" w:eastAsia="Times New Roman" w:hAnsi="Times New Roman" w:cs="Times New Roman"/>
                <w:sz w:val="24"/>
                <w:szCs w:val="24"/>
                <w:lang w:eastAsia="zh-CN"/>
              </w:rPr>
            </w:pPr>
            <w:r w:rsidRPr="00B66F3F">
              <w:rPr>
                <w:rFonts w:ascii="Times New Roman" w:eastAsia="Calibri" w:hAnsi="Times New Roman" w:cs="Times New Roman"/>
                <w:sz w:val="28"/>
                <w:szCs w:val="28"/>
                <w:lang w:val="ru-RU"/>
              </w:rPr>
              <w:t>ЗАТВЕРДЖЕНО</w:t>
            </w:r>
          </w:p>
          <w:p w:rsidR="00F8025C" w:rsidRDefault="0076497B" w:rsidP="007876B4">
            <w:pPr>
              <w:widowControl w:val="0"/>
              <w:shd w:val="clear" w:color="auto" w:fill="FFFFFF"/>
              <w:suppressAutoHyphens/>
              <w:ind w:left="-108"/>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Наказ </w:t>
            </w:r>
            <w:r w:rsidR="00F8025C" w:rsidRPr="00B66F3F">
              <w:rPr>
                <w:rFonts w:ascii="Times New Roman" w:eastAsia="Calibri" w:hAnsi="Times New Roman" w:cs="Times New Roman"/>
                <w:sz w:val="28"/>
                <w:szCs w:val="28"/>
              </w:rPr>
              <w:t>Павлівського ліцею Волинської області</w:t>
            </w:r>
            <w:r w:rsidR="00F8025C">
              <w:rPr>
                <w:rFonts w:ascii="Times New Roman" w:eastAsia="Calibri" w:hAnsi="Times New Roman" w:cs="Times New Roman"/>
                <w:sz w:val="28"/>
                <w:szCs w:val="28"/>
                <w:lang w:val="ru-RU"/>
              </w:rPr>
              <w:t xml:space="preserve"> </w:t>
            </w:r>
          </w:p>
          <w:p w:rsidR="00F8025C" w:rsidRDefault="00F8025C" w:rsidP="007876B4">
            <w:pPr>
              <w:widowControl w:val="0"/>
              <w:shd w:val="clear" w:color="auto" w:fill="FFFFFF"/>
              <w:suppressAutoHyphens/>
              <w:ind w:left="-108"/>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23.12.2020  </w:t>
            </w:r>
            <w:r w:rsidR="0076497B">
              <w:rPr>
                <w:rFonts w:ascii="Times New Roman" w:eastAsia="Calibri" w:hAnsi="Times New Roman" w:cs="Times New Roman"/>
                <w:sz w:val="28"/>
                <w:szCs w:val="28"/>
                <w:lang w:val="ru-RU"/>
              </w:rPr>
              <w:t xml:space="preserve">№ </w:t>
            </w:r>
            <w:r w:rsidR="00F87E85">
              <w:rPr>
                <w:rFonts w:ascii="Times New Roman" w:eastAsia="Calibri" w:hAnsi="Times New Roman" w:cs="Times New Roman"/>
                <w:sz w:val="28"/>
                <w:szCs w:val="28"/>
                <w:lang w:val="ru-RU"/>
              </w:rPr>
              <w:t>214</w:t>
            </w:r>
            <w:r>
              <w:rPr>
                <w:rFonts w:ascii="Times New Roman" w:eastAsia="Calibri" w:hAnsi="Times New Roman" w:cs="Times New Roman"/>
                <w:sz w:val="28"/>
                <w:szCs w:val="28"/>
                <w:lang w:val="ru-RU"/>
              </w:rPr>
              <w:t xml:space="preserve"> </w:t>
            </w:r>
            <w:r w:rsidR="0076497B">
              <w:rPr>
                <w:rFonts w:ascii="Times New Roman" w:eastAsia="Calibri" w:hAnsi="Times New Roman" w:cs="Times New Roman"/>
                <w:sz w:val="28"/>
                <w:szCs w:val="28"/>
                <w:lang w:val="ru-RU"/>
              </w:rPr>
              <w:t xml:space="preserve"> </w:t>
            </w:r>
          </w:p>
          <w:p w:rsidR="0076497B" w:rsidRPr="00B66F3F" w:rsidRDefault="0076497B" w:rsidP="007876B4">
            <w:pPr>
              <w:widowControl w:val="0"/>
              <w:shd w:val="clear" w:color="auto" w:fill="FFFFFF"/>
              <w:suppressAutoHyphens/>
              <w:ind w:left="-108"/>
              <w:rPr>
                <w:rFonts w:ascii="Times New Roman" w:eastAsia="Times New Roman" w:hAnsi="Times New Roman" w:cs="Times New Roman"/>
                <w:sz w:val="24"/>
                <w:szCs w:val="24"/>
                <w:lang w:eastAsia="zh-CN"/>
              </w:rPr>
            </w:pPr>
            <w:r w:rsidRPr="00B66F3F">
              <w:rPr>
                <w:rFonts w:ascii="Times New Roman" w:eastAsia="Calibri" w:hAnsi="Times New Roman" w:cs="Times New Roman"/>
                <w:sz w:val="28"/>
                <w:szCs w:val="28"/>
                <w:lang w:val="ru-RU"/>
              </w:rPr>
              <w:t>Директор</w:t>
            </w:r>
            <w:r w:rsidRPr="00B66F3F">
              <w:rPr>
                <w:rFonts w:ascii="Times New Roman" w:eastAsia="Calibri" w:hAnsi="Times New Roman" w:cs="Times New Roman"/>
                <w:sz w:val="28"/>
                <w:szCs w:val="28"/>
                <w:u w:val="single"/>
                <w:lang w:val="ru-RU"/>
              </w:rPr>
              <w:t xml:space="preserve">  </w:t>
            </w:r>
            <w:r w:rsidR="00F8025C">
              <w:rPr>
                <w:rFonts w:ascii="Times New Roman" w:eastAsia="Calibri" w:hAnsi="Times New Roman" w:cs="Times New Roman"/>
                <w:sz w:val="28"/>
                <w:szCs w:val="28"/>
                <w:u w:val="single"/>
                <w:lang w:val="ru-RU"/>
              </w:rPr>
              <w:t xml:space="preserve">  </w:t>
            </w:r>
            <w:r w:rsidRPr="00B66F3F">
              <w:rPr>
                <w:rFonts w:ascii="Times New Roman" w:eastAsia="Calibri" w:hAnsi="Times New Roman" w:cs="Times New Roman"/>
                <w:sz w:val="28"/>
                <w:szCs w:val="28"/>
                <w:u w:val="single"/>
                <w:lang w:val="ru-RU"/>
              </w:rPr>
              <w:t xml:space="preserve">       </w:t>
            </w:r>
            <w:r w:rsidRPr="00B66F3F">
              <w:rPr>
                <w:rFonts w:ascii="Times New Roman" w:eastAsia="Calibri" w:hAnsi="Times New Roman" w:cs="Times New Roman"/>
                <w:sz w:val="28"/>
                <w:szCs w:val="28"/>
                <w:lang w:val="ru-RU"/>
              </w:rPr>
              <w:t xml:space="preserve"> </w:t>
            </w:r>
            <w:proofErr w:type="spellStart"/>
            <w:r w:rsidRPr="00B66F3F">
              <w:rPr>
                <w:rFonts w:ascii="Times New Roman" w:eastAsia="Calibri" w:hAnsi="Times New Roman" w:cs="Times New Roman"/>
                <w:sz w:val="28"/>
                <w:szCs w:val="28"/>
                <w:lang w:val="ru-RU"/>
              </w:rPr>
              <w:t>А.</w:t>
            </w:r>
            <w:r w:rsidR="00F8025C">
              <w:rPr>
                <w:rFonts w:ascii="Times New Roman" w:eastAsia="Calibri" w:hAnsi="Times New Roman" w:cs="Times New Roman"/>
                <w:sz w:val="28"/>
                <w:szCs w:val="28"/>
                <w:lang w:val="ru-RU"/>
              </w:rPr>
              <w:t>А.</w:t>
            </w:r>
            <w:r w:rsidRPr="00B66F3F">
              <w:rPr>
                <w:rFonts w:ascii="Times New Roman" w:eastAsia="Calibri" w:hAnsi="Times New Roman" w:cs="Times New Roman"/>
                <w:sz w:val="28"/>
                <w:szCs w:val="28"/>
                <w:lang w:val="ru-RU"/>
              </w:rPr>
              <w:t>Павлович</w:t>
            </w:r>
            <w:proofErr w:type="spellEnd"/>
          </w:p>
          <w:p w:rsidR="0076497B" w:rsidRPr="00B66F3F" w:rsidRDefault="0076497B" w:rsidP="007876B4">
            <w:pPr>
              <w:widowControl w:val="0"/>
              <w:shd w:val="clear" w:color="auto" w:fill="FFFFFF"/>
              <w:suppressAutoHyphens/>
              <w:ind w:left="161"/>
              <w:jc w:val="both"/>
              <w:rPr>
                <w:rFonts w:ascii="Times New Roman" w:eastAsia="Calibri" w:hAnsi="Times New Roman" w:cs="Times New Roman"/>
                <w:bCs/>
                <w:sz w:val="28"/>
                <w:szCs w:val="28"/>
                <w:lang w:val="ru-RU"/>
              </w:rPr>
            </w:pPr>
          </w:p>
        </w:tc>
      </w:tr>
    </w:tbl>
    <w:p w:rsidR="00C02261" w:rsidRDefault="00C02261" w:rsidP="006F6F56">
      <w:pPr>
        <w:spacing w:line="360" w:lineRule="auto"/>
        <w:jc w:val="center"/>
        <w:rPr>
          <w:rFonts w:ascii="Times New Roman" w:hAnsi="Times New Roman" w:cs="Times New Roman"/>
          <w:b/>
          <w:sz w:val="32"/>
          <w:szCs w:val="32"/>
        </w:rPr>
      </w:pPr>
    </w:p>
    <w:p w:rsidR="0076497B" w:rsidRPr="00B66F3F" w:rsidRDefault="0076497B" w:rsidP="006F6F56">
      <w:pPr>
        <w:spacing w:line="360" w:lineRule="auto"/>
        <w:jc w:val="center"/>
        <w:rPr>
          <w:rFonts w:ascii="Times New Roman" w:hAnsi="Times New Roman" w:cs="Times New Roman"/>
          <w:b/>
          <w:sz w:val="32"/>
          <w:szCs w:val="32"/>
        </w:rPr>
      </w:pPr>
      <w:bookmarkStart w:id="0" w:name="_GoBack"/>
      <w:bookmarkEnd w:id="0"/>
      <w:r w:rsidRPr="00B66F3F">
        <w:rPr>
          <w:rFonts w:ascii="Times New Roman" w:hAnsi="Times New Roman" w:cs="Times New Roman"/>
          <w:b/>
          <w:sz w:val="32"/>
          <w:szCs w:val="32"/>
        </w:rPr>
        <w:t>ПО</w:t>
      </w:r>
      <w:r>
        <w:rPr>
          <w:rFonts w:ascii="Times New Roman" w:hAnsi="Times New Roman" w:cs="Times New Roman"/>
          <w:b/>
          <w:sz w:val="32"/>
          <w:szCs w:val="32"/>
        </w:rPr>
        <w:t>ЛОЖЕННЯ</w:t>
      </w:r>
    </w:p>
    <w:p w:rsidR="0076497B" w:rsidRDefault="0076497B" w:rsidP="006F6F56">
      <w:pPr>
        <w:spacing w:line="360" w:lineRule="auto"/>
        <w:jc w:val="center"/>
        <w:rPr>
          <w:rFonts w:ascii="Times New Roman" w:hAnsi="Times New Roman" w:cs="Times New Roman"/>
          <w:b/>
          <w:sz w:val="32"/>
          <w:szCs w:val="32"/>
        </w:rPr>
      </w:pPr>
      <w:r w:rsidRPr="0076497B">
        <w:rPr>
          <w:rFonts w:ascii="Times New Roman" w:hAnsi="Times New Roman" w:cs="Times New Roman"/>
          <w:b/>
          <w:sz w:val="32"/>
          <w:szCs w:val="32"/>
        </w:rPr>
        <w:t xml:space="preserve">про академічну доброчесність </w:t>
      </w:r>
      <w:r>
        <w:rPr>
          <w:rFonts w:ascii="Times New Roman" w:hAnsi="Times New Roman" w:cs="Times New Roman"/>
          <w:b/>
          <w:sz w:val="32"/>
          <w:szCs w:val="32"/>
        </w:rPr>
        <w:t>учасників освітнього процесу</w:t>
      </w:r>
      <w:r w:rsidRPr="00B66F3F">
        <w:rPr>
          <w:rFonts w:ascii="Times New Roman" w:hAnsi="Times New Roman" w:cs="Times New Roman"/>
          <w:b/>
          <w:sz w:val="32"/>
          <w:szCs w:val="32"/>
        </w:rPr>
        <w:t xml:space="preserve"> Павлівського ліцею Павлівської сільської ради Волинської області</w:t>
      </w:r>
    </w:p>
    <w:p w:rsidR="0076497B" w:rsidRDefault="0076497B" w:rsidP="0076497B">
      <w:pPr>
        <w:shd w:val="clear" w:color="auto" w:fill="FFFFFF"/>
        <w:spacing w:after="0" w:line="240" w:lineRule="auto"/>
        <w:jc w:val="both"/>
        <w:textAlignment w:val="baseline"/>
        <w:rPr>
          <w:rFonts w:ascii="Times New Roman" w:eastAsia="Times New Roman" w:hAnsi="Times New Roman" w:cs="Times New Roman"/>
          <w:b/>
          <w:bCs/>
          <w:color w:val="555555"/>
          <w:sz w:val="28"/>
          <w:szCs w:val="28"/>
          <w:bdr w:val="none" w:sz="0" w:space="0" w:color="auto" w:frame="1"/>
          <w:lang w:eastAsia="uk-UA"/>
        </w:rPr>
      </w:pP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t>І. Загальні положення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 xml:space="preserve">1.1. Положення про академічну доброчесність </w:t>
      </w:r>
      <w:r>
        <w:rPr>
          <w:rFonts w:ascii="Times New Roman" w:eastAsia="Times New Roman" w:hAnsi="Times New Roman" w:cs="Times New Roman"/>
          <w:color w:val="555555"/>
          <w:sz w:val="28"/>
          <w:szCs w:val="28"/>
          <w:lang w:eastAsia="uk-UA"/>
        </w:rPr>
        <w:t>учасників освітнього процесу</w:t>
      </w:r>
      <w:r w:rsidRPr="0076497B">
        <w:t xml:space="preserve"> </w:t>
      </w:r>
      <w:r w:rsidRPr="0076497B">
        <w:rPr>
          <w:rFonts w:ascii="Times New Roman" w:eastAsia="Times New Roman" w:hAnsi="Times New Roman" w:cs="Times New Roman"/>
          <w:color w:val="555555"/>
          <w:sz w:val="28"/>
          <w:szCs w:val="28"/>
          <w:lang w:eastAsia="uk-UA"/>
        </w:rPr>
        <w:t>Павлівського ліцею Павлівської сільської ради Волинської області (далі -Положення)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статуту школи, правил внутрішнього розпорядку та інших нормативно-правових актів чинного законодавства України</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t> ІІ. Принципи, норми етики та забезпечення академічної доброчесності </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2.1. Академічна доброчесність – це сукупність етичних принцип</w:t>
      </w:r>
      <w:r>
        <w:rPr>
          <w:rFonts w:ascii="Times New Roman" w:eastAsia="Times New Roman" w:hAnsi="Times New Roman" w:cs="Times New Roman"/>
          <w:color w:val="555555"/>
          <w:sz w:val="28"/>
          <w:szCs w:val="28"/>
          <w:lang w:eastAsia="uk-UA"/>
        </w:rPr>
        <w:t>ів та визначених законом правил</w:t>
      </w:r>
      <w:r w:rsidRPr="0076497B">
        <w:rPr>
          <w:rFonts w:ascii="Times New Roman" w:eastAsia="Times New Roman" w:hAnsi="Times New Roman" w:cs="Times New Roman"/>
          <w:color w:val="555555"/>
          <w:sz w:val="28"/>
          <w:szCs w:val="28"/>
          <w:lang w:eastAsia="uk-UA"/>
        </w:rPr>
        <w:t>,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2.2. Порушеннями академічної доброчесності згідно ст.42 п. 4 Закону України «Про освіту» вважається:</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lastRenderedPageBreak/>
        <w:t>Академічний плагіат</w:t>
      </w:r>
      <w:r w:rsidRPr="0076497B">
        <w:rPr>
          <w:rFonts w:ascii="Times New Roman" w:eastAsia="Times New Roman" w:hAnsi="Times New Roman" w:cs="Times New Roman"/>
          <w:color w:val="555555"/>
          <w:sz w:val="28"/>
          <w:szCs w:val="28"/>
          <w:lang w:eastAsia="uk-UA"/>
        </w:rPr>
        <w:t>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Самоплагіат </w:t>
      </w:r>
      <w:r w:rsidRPr="0076497B">
        <w:rPr>
          <w:rFonts w:ascii="Times New Roman" w:eastAsia="Times New Roman" w:hAnsi="Times New Roman" w:cs="Times New Roman"/>
          <w:color w:val="555555"/>
          <w:sz w:val="28"/>
          <w:szCs w:val="28"/>
          <w:lang w:eastAsia="uk-UA"/>
        </w:rPr>
        <w:t>- оприлюднення (частково або повністю) власних раніше опублікованих наукових результатів як нових.</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Фабрикація </w:t>
      </w:r>
      <w:r w:rsidRPr="0076497B">
        <w:rPr>
          <w:rFonts w:ascii="Times New Roman" w:eastAsia="Times New Roman" w:hAnsi="Times New Roman" w:cs="Times New Roman"/>
          <w:color w:val="555555"/>
          <w:sz w:val="28"/>
          <w:szCs w:val="28"/>
          <w:lang w:eastAsia="uk-UA"/>
        </w:rPr>
        <w:t>– вигадування даних чи фактів, що використовуються в освітньому процесі або наукових дослідженнях.</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Фальсифікація</w:t>
      </w:r>
      <w:r w:rsidRPr="0076497B">
        <w:rPr>
          <w:rFonts w:ascii="Times New Roman" w:eastAsia="Times New Roman" w:hAnsi="Times New Roman" w:cs="Times New Roman"/>
          <w:color w:val="555555"/>
          <w:sz w:val="28"/>
          <w:szCs w:val="28"/>
          <w:lang w:eastAsia="uk-UA"/>
        </w:rPr>
        <w:t> – свідома зміна чи модифікація вже наявних даних, що стосуються освітнього процесу чи наукових досліджень.</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Списування </w:t>
      </w:r>
      <w:r w:rsidRPr="0076497B">
        <w:rPr>
          <w:rFonts w:ascii="Times New Roman" w:eastAsia="Times New Roman" w:hAnsi="Times New Roman" w:cs="Times New Roman"/>
          <w:color w:val="555555"/>
          <w:sz w:val="28"/>
          <w:szCs w:val="28"/>
          <w:lang w:eastAsia="uk-UA"/>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Обман </w:t>
      </w:r>
      <w:r w:rsidRPr="0076497B">
        <w:rPr>
          <w:rFonts w:ascii="Times New Roman" w:eastAsia="Times New Roman" w:hAnsi="Times New Roman" w:cs="Times New Roman"/>
          <w:color w:val="555555"/>
          <w:sz w:val="28"/>
          <w:szCs w:val="28"/>
          <w:lang w:eastAsia="uk-UA"/>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Хабарництво </w:t>
      </w:r>
      <w:r w:rsidRPr="0076497B">
        <w:rPr>
          <w:rFonts w:ascii="Times New Roman" w:eastAsia="Times New Roman" w:hAnsi="Times New Roman" w:cs="Times New Roman"/>
          <w:color w:val="555555"/>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Зловживання впливом</w:t>
      </w:r>
      <w:r w:rsidRPr="0076497B">
        <w:rPr>
          <w:rFonts w:ascii="Times New Roman" w:eastAsia="Times New Roman" w:hAnsi="Times New Roman" w:cs="Times New Roman"/>
          <w:color w:val="555555"/>
          <w:sz w:val="28"/>
          <w:szCs w:val="28"/>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76497B" w:rsidRPr="0076497B" w:rsidRDefault="0076497B" w:rsidP="0076497B">
      <w:pPr>
        <w:numPr>
          <w:ilvl w:val="0"/>
          <w:numId w:val="1"/>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i/>
          <w:iCs/>
          <w:color w:val="555555"/>
          <w:sz w:val="28"/>
          <w:szCs w:val="28"/>
          <w:bdr w:val="none" w:sz="0" w:space="0" w:color="auto" w:frame="1"/>
          <w:lang w:eastAsia="uk-UA"/>
        </w:rPr>
        <w:t>Необ’єктивне оцінювання</w:t>
      </w:r>
      <w:r w:rsidRPr="0076497B">
        <w:rPr>
          <w:rFonts w:ascii="Times New Roman" w:eastAsia="Times New Roman" w:hAnsi="Times New Roman" w:cs="Times New Roman"/>
          <w:color w:val="555555"/>
          <w:sz w:val="28"/>
          <w:szCs w:val="28"/>
          <w:lang w:eastAsia="uk-UA"/>
        </w:rPr>
        <w:t> – свідоме завищення або заниження оцінки результатів навчання здобувачів освіти.</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2.3. Етика  та академічна  доброчесність забезпечуються:</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i/>
          <w:iCs/>
          <w:color w:val="555555"/>
          <w:sz w:val="28"/>
          <w:szCs w:val="28"/>
          <w:bdr w:val="none" w:sz="0" w:space="0" w:color="auto" w:frame="1"/>
          <w:lang w:eastAsia="uk-UA"/>
        </w:rPr>
        <w:t> 2.3.1</w:t>
      </w:r>
      <w:r w:rsidRPr="0076497B">
        <w:rPr>
          <w:rFonts w:ascii="Times New Roman" w:eastAsia="Times New Roman" w:hAnsi="Times New Roman" w:cs="Times New Roman"/>
          <w:b/>
          <w:bCs/>
          <w:i/>
          <w:iCs/>
          <w:color w:val="555555"/>
          <w:sz w:val="28"/>
          <w:szCs w:val="28"/>
          <w:bdr w:val="none" w:sz="0" w:space="0" w:color="auto" w:frame="1"/>
          <w:lang w:eastAsia="uk-UA"/>
        </w:rPr>
        <w:t>. учасниками освітнього процесу</w:t>
      </w:r>
      <w:r w:rsidRPr="0076497B">
        <w:rPr>
          <w:rFonts w:ascii="Times New Roman" w:eastAsia="Times New Roman" w:hAnsi="Times New Roman" w:cs="Times New Roman"/>
          <w:color w:val="555555"/>
          <w:sz w:val="28"/>
          <w:szCs w:val="28"/>
          <w:lang w:eastAsia="uk-UA"/>
        </w:rPr>
        <w:t> шляхом</w:t>
      </w:r>
      <w:r w:rsidRPr="0076497B">
        <w:rPr>
          <w:rFonts w:ascii="Times New Roman" w:eastAsia="Times New Roman" w:hAnsi="Times New Roman" w:cs="Times New Roman"/>
          <w:i/>
          <w:iCs/>
          <w:color w:val="555555"/>
          <w:sz w:val="28"/>
          <w:szCs w:val="28"/>
          <w:bdr w:val="none" w:sz="0" w:space="0" w:color="auto" w:frame="1"/>
          <w:lang w:eastAsia="uk-UA"/>
        </w:rPr>
        <w:t>:</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дотримання Конвенції ООН «Про права дитини», Конституції, законів України;</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утвердження позитивного іміджу школи, примноження її традицій;</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дотримання етичних норм спілкування на засадах партнерства, взаємоповаги, толерантності стосунків;</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запобігання корупції, хабарництву;</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збереження, поліпшення  та раціонального  використання навчально-матеріальної бази школи;</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дотримання  норм про авторські права;</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надання правдивої  інформації про результати власної навчальної (наукової, творчої) діяльності;</w:t>
      </w:r>
    </w:p>
    <w:p w:rsidR="0076497B" w:rsidRPr="0076497B" w:rsidRDefault="0076497B" w:rsidP="0076497B">
      <w:pPr>
        <w:numPr>
          <w:ilvl w:val="0"/>
          <w:numId w:val="2"/>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lastRenderedPageBreak/>
        <w:t>невідворотності відповідальності з підстав та в порядку,  визначених відповідно Законом України «Про освіту» та іншими спеціальними законами.</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i/>
          <w:iCs/>
          <w:color w:val="555555"/>
          <w:sz w:val="28"/>
          <w:szCs w:val="28"/>
          <w:bdr w:val="none" w:sz="0" w:space="0" w:color="auto" w:frame="1"/>
          <w:lang w:eastAsia="uk-UA"/>
        </w:rPr>
        <w:t>2.3.2.</w:t>
      </w:r>
      <w:r w:rsidRPr="0076497B">
        <w:rPr>
          <w:rFonts w:ascii="Times New Roman" w:eastAsia="Times New Roman" w:hAnsi="Times New Roman" w:cs="Times New Roman"/>
          <w:b/>
          <w:bCs/>
          <w:i/>
          <w:iCs/>
          <w:color w:val="555555"/>
          <w:sz w:val="28"/>
          <w:szCs w:val="28"/>
          <w:bdr w:val="none" w:sz="0" w:space="0" w:color="auto" w:frame="1"/>
          <w:lang w:eastAsia="uk-UA"/>
        </w:rPr>
        <w:t>здобувачами освіти</w:t>
      </w:r>
      <w:r w:rsidRPr="0076497B">
        <w:rPr>
          <w:rFonts w:ascii="Times New Roman" w:eastAsia="Times New Roman" w:hAnsi="Times New Roman" w:cs="Times New Roman"/>
          <w:i/>
          <w:iCs/>
          <w:color w:val="555555"/>
          <w:sz w:val="28"/>
          <w:szCs w:val="28"/>
          <w:bdr w:val="none" w:sz="0" w:space="0" w:color="auto" w:frame="1"/>
          <w:lang w:eastAsia="uk-UA"/>
        </w:rPr>
        <w:t> </w:t>
      </w:r>
      <w:r w:rsidRPr="0076497B">
        <w:rPr>
          <w:rFonts w:ascii="Times New Roman" w:eastAsia="Times New Roman" w:hAnsi="Times New Roman" w:cs="Times New Roman"/>
          <w:color w:val="555555"/>
          <w:sz w:val="28"/>
          <w:szCs w:val="28"/>
          <w:lang w:eastAsia="uk-UA"/>
        </w:rPr>
        <w:t>шляхом:</w:t>
      </w:r>
    </w:p>
    <w:p w:rsidR="0076497B" w:rsidRPr="0076497B" w:rsidRDefault="0076497B" w:rsidP="0076497B">
      <w:pPr>
        <w:numPr>
          <w:ilvl w:val="0"/>
          <w:numId w:val="3"/>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76497B" w:rsidRPr="0076497B" w:rsidRDefault="0076497B" w:rsidP="0076497B">
      <w:pPr>
        <w:numPr>
          <w:ilvl w:val="0"/>
          <w:numId w:val="3"/>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особистою присутністю на всіх заняттях, окрім випадків, викликаних поважними причинами.</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i/>
          <w:iCs/>
          <w:color w:val="555555"/>
          <w:sz w:val="28"/>
          <w:szCs w:val="28"/>
          <w:bdr w:val="none" w:sz="0" w:space="0" w:color="auto" w:frame="1"/>
          <w:lang w:eastAsia="uk-UA"/>
        </w:rPr>
        <w:t>2.3.3</w:t>
      </w:r>
      <w:r w:rsidRPr="0076497B">
        <w:rPr>
          <w:rFonts w:ascii="Times New Roman" w:eastAsia="Times New Roman" w:hAnsi="Times New Roman" w:cs="Times New Roman"/>
          <w:color w:val="555555"/>
          <w:sz w:val="28"/>
          <w:szCs w:val="28"/>
          <w:lang w:eastAsia="uk-UA"/>
        </w:rPr>
        <w:t>. </w:t>
      </w:r>
      <w:r w:rsidRPr="0076497B">
        <w:rPr>
          <w:rFonts w:ascii="Times New Roman" w:eastAsia="Times New Roman" w:hAnsi="Times New Roman" w:cs="Times New Roman"/>
          <w:b/>
          <w:bCs/>
          <w:i/>
          <w:iCs/>
          <w:color w:val="555555"/>
          <w:sz w:val="28"/>
          <w:szCs w:val="28"/>
          <w:bdr w:val="none" w:sz="0" w:space="0" w:color="auto" w:frame="1"/>
          <w:lang w:eastAsia="uk-UA"/>
        </w:rPr>
        <w:t>педагогічними працівниками</w:t>
      </w:r>
      <w:r w:rsidRPr="0076497B">
        <w:rPr>
          <w:rFonts w:ascii="Times New Roman" w:eastAsia="Times New Roman" w:hAnsi="Times New Roman" w:cs="Times New Roman"/>
          <w:i/>
          <w:iCs/>
          <w:color w:val="555555"/>
          <w:sz w:val="28"/>
          <w:szCs w:val="28"/>
          <w:bdr w:val="none" w:sz="0" w:space="0" w:color="auto" w:frame="1"/>
          <w:lang w:eastAsia="uk-UA"/>
        </w:rPr>
        <w:t> </w:t>
      </w:r>
      <w:r w:rsidRPr="0076497B">
        <w:rPr>
          <w:rFonts w:ascii="Times New Roman" w:eastAsia="Times New Roman" w:hAnsi="Times New Roman" w:cs="Times New Roman"/>
          <w:color w:val="555555"/>
          <w:sz w:val="28"/>
          <w:szCs w:val="28"/>
          <w:lang w:eastAsia="uk-UA"/>
        </w:rPr>
        <w:t>шляхом:</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надання якісних освітніх послуг з використанням в практичній професійній  діяльності  інноваційних здобутків в галузі освіти;</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незалежності професійної діяльності  від політичних партій, громадських і релігійних організацій;</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підвищення професійного рівня шляхом саморозвитку і самовдосконалення, проходження вчасно  курсової підготовки;</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дотримання правил внутрішнього розпорядку, трудової дисципліни, корпоративної етики;</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об’єктивного і неупередженого оцінювання результатів навчання здобувачів  освіти;</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здійснення контролю за дотриманням академічної доброчесності здобувачами освіти;</w:t>
      </w:r>
    </w:p>
    <w:p w:rsidR="0076497B" w:rsidRPr="0076497B" w:rsidRDefault="0076497B" w:rsidP="0076497B">
      <w:pPr>
        <w:numPr>
          <w:ilvl w:val="0"/>
          <w:numId w:val="4"/>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інформування здобувачів освіти про типові порушення академічної доброчесності та види відповідальності за її порушення.</w:t>
      </w:r>
      <w:r w:rsidRPr="0076497B">
        <w:rPr>
          <w:rFonts w:ascii="Times New Roman" w:eastAsia="Times New Roman" w:hAnsi="Times New Roman" w:cs="Times New Roman"/>
          <w:b/>
          <w:bCs/>
          <w:color w:val="555555"/>
          <w:sz w:val="28"/>
          <w:szCs w:val="28"/>
          <w:bdr w:val="none" w:sz="0" w:space="0" w:color="auto" w:frame="1"/>
          <w:lang w:eastAsia="uk-UA"/>
        </w:rPr>
        <w:t> </w:t>
      </w:r>
    </w:p>
    <w:p w:rsidR="0076497B" w:rsidRDefault="0076497B" w:rsidP="0076497B">
      <w:pPr>
        <w:shd w:val="clear" w:color="auto" w:fill="FFFFFF"/>
        <w:spacing w:after="0" w:line="240" w:lineRule="auto"/>
        <w:jc w:val="both"/>
        <w:textAlignment w:val="baseline"/>
        <w:rPr>
          <w:rFonts w:ascii="Times New Roman" w:eastAsia="Times New Roman" w:hAnsi="Times New Roman" w:cs="Times New Roman"/>
          <w:b/>
          <w:bCs/>
          <w:color w:val="555555"/>
          <w:sz w:val="28"/>
          <w:szCs w:val="28"/>
          <w:bdr w:val="none" w:sz="0" w:space="0" w:color="auto" w:frame="1"/>
          <w:lang w:eastAsia="uk-UA"/>
        </w:rPr>
      </w:pP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t>ІІІ. Заходи з попередження, виявлення та встановлення фактів</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t>порушення етики та академічної доброчесності</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3.1. При прийомі на роботу працівник знайомиться із даним Положенням під розписку після ознайомлення із правилами внутрішнього розпорядку школи.</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3.2. Положення доводиться до батьківської громади, оприлюднюється на сайті школи.</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3.3.Адміністрація школи:</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3.3.1. Забезпечують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3.3.2. Використовують у своїй діяльності (рецензування робіт  на конкурси різного рівня,  на присвоєння  педагогічного звання) та  рекомендують вчителям сервіси безкоштовної перевірки робіт на антиплагіат.</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lastRenderedPageBreak/>
        <w:t>3.4.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3.5. Для прийняття рішення про призначення відповідально</w:t>
      </w:r>
      <w:r>
        <w:rPr>
          <w:rFonts w:ascii="Times New Roman" w:eastAsia="Times New Roman" w:hAnsi="Times New Roman" w:cs="Times New Roman"/>
          <w:color w:val="555555"/>
          <w:sz w:val="28"/>
          <w:szCs w:val="28"/>
          <w:lang w:eastAsia="uk-UA"/>
        </w:rPr>
        <w:t>сті за списуванння створюється шкільна к</w:t>
      </w:r>
      <w:r w:rsidRPr="0076497B">
        <w:rPr>
          <w:rFonts w:ascii="Times New Roman" w:eastAsia="Times New Roman" w:hAnsi="Times New Roman" w:cs="Times New Roman"/>
          <w:color w:val="555555"/>
          <w:sz w:val="28"/>
          <w:szCs w:val="28"/>
          <w:lang w:eastAsia="uk-UA"/>
        </w:rPr>
        <w:t>омісія з попередження  списування здобувачами освіти (далі – Комісія) у складі класного керівника, вчителя-предметника, представника учнівського самоврядування класу.</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3.6. 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t>IV. Види відповідальності за порушення академічної доброчесності</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4.1. Види академічної відповідальності за конкретне порушення академічної доброчинності визначають спеціальні закони та внутрішнє Положення школи.</w:t>
      </w:r>
    </w:p>
    <w:tbl>
      <w:tblPr>
        <w:tblW w:w="10185" w:type="dxa"/>
        <w:tblBorders>
          <w:top w:val="single" w:sz="6" w:space="0" w:color="00FEE9"/>
          <w:left w:val="single" w:sz="6" w:space="0" w:color="00FEE9"/>
          <w:bottom w:val="single" w:sz="6" w:space="0" w:color="00FEE9"/>
          <w:right w:val="single" w:sz="6" w:space="0" w:color="00FEE9"/>
        </w:tblBorders>
        <w:shd w:val="clear" w:color="auto" w:fill="FFFFFF"/>
        <w:tblCellMar>
          <w:left w:w="0" w:type="dxa"/>
          <w:right w:w="0" w:type="dxa"/>
        </w:tblCellMar>
        <w:tblLook w:val="04A0" w:firstRow="1" w:lastRow="0" w:firstColumn="1" w:lastColumn="0" w:noHBand="0" w:noVBand="1"/>
      </w:tblPr>
      <w:tblGrid>
        <w:gridCol w:w="1701"/>
        <w:gridCol w:w="1430"/>
        <w:gridCol w:w="3013"/>
        <w:gridCol w:w="2692"/>
        <w:gridCol w:w="2120"/>
      </w:tblGrid>
      <w:tr w:rsidR="0076497B" w:rsidRPr="0076497B" w:rsidTr="0076497B">
        <w:tc>
          <w:tcPr>
            <w:tcW w:w="184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Порушення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академічної доброчесності</w:t>
            </w:r>
          </w:p>
        </w:tc>
        <w:tc>
          <w:tcPr>
            <w:tcW w:w="156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Суб’єкти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порушення</w:t>
            </w:r>
          </w:p>
        </w:tc>
        <w:tc>
          <w:tcPr>
            <w:tcW w:w="213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Обставини та умови  порушення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академічної доброчесності</w:t>
            </w:r>
          </w:p>
        </w:tc>
        <w:tc>
          <w:tcPr>
            <w:tcW w:w="226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Наслідки  і форма відповідальності</w:t>
            </w:r>
          </w:p>
        </w:tc>
        <w:tc>
          <w:tcPr>
            <w:tcW w:w="208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Орган / посадова особа, який приймає рішення про призначення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i/>
                <w:iCs/>
                <w:color w:val="555555"/>
                <w:sz w:val="24"/>
                <w:szCs w:val="24"/>
                <w:bdr w:val="none" w:sz="0" w:space="0" w:color="auto" w:frame="1"/>
                <w:lang w:eastAsia="uk-UA"/>
              </w:rPr>
              <w:t>виду відповідальності</w:t>
            </w:r>
          </w:p>
        </w:tc>
      </w:tr>
      <w:tr w:rsidR="0076497B" w:rsidRPr="0076497B" w:rsidTr="0076497B">
        <w:tc>
          <w:tcPr>
            <w:tcW w:w="1845" w:type="dxa"/>
            <w:vMerge w:val="restart"/>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Списування</w:t>
            </w:r>
          </w:p>
        </w:tc>
        <w:tc>
          <w:tcPr>
            <w:tcW w:w="1560" w:type="dxa"/>
            <w:vMerge w:val="restart"/>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Здобувачі освіти</w:t>
            </w:r>
          </w:p>
        </w:tc>
        <w:tc>
          <w:tcPr>
            <w:tcW w:w="213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самостійні роботи;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контрольні роботи;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контрольні зрізи знань;</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річне оцінювання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(для  екстернів)</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моніторинги якості знань</w:t>
            </w:r>
          </w:p>
        </w:tc>
        <w:tc>
          <w:tcPr>
            <w:tcW w:w="226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Повторне письмове проходження оцінювання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термін -1 тиждень</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або повторне проходження відповідного освітнього компонента освітньої програми</w:t>
            </w:r>
          </w:p>
        </w:tc>
        <w:tc>
          <w:tcPr>
            <w:tcW w:w="208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Учителі-предметники</w:t>
            </w:r>
          </w:p>
        </w:tc>
      </w:tr>
      <w:tr w:rsidR="0076497B" w:rsidRPr="0076497B" w:rsidTr="0076497B">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center"/>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center"/>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213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-державна підсумкова атестація;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річне оцінювання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для  екстернів)</w:t>
            </w:r>
          </w:p>
        </w:tc>
        <w:tc>
          <w:tcPr>
            <w:tcW w:w="226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Повторне проходження оцінювання  за графіком проведення  ДПА у школі</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Не зарахування  результатів</w:t>
            </w:r>
          </w:p>
        </w:tc>
        <w:tc>
          <w:tcPr>
            <w:tcW w:w="208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Атестаційна комісія державної підсумкової атестації</w:t>
            </w:r>
          </w:p>
        </w:tc>
      </w:tr>
      <w:tr w:rsidR="0076497B" w:rsidRPr="0076497B" w:rsidTr="0076497B">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center"/>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center"/>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213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-І етап( шкільний) Всеукраїнських  учнівських олімпіад, конкурсів;</w:t>
            </w:r>
          </w:p>
        </w:tc>
        <w:tc>
          <w:tcPr>
            <w:tcW w:w="226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Робота учасника анулюється, не оцінюється.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xml:space="preserve">У разі повторних випадків списування учасник не допускається до участі в </w:t>
            </w:r>
            <w:r w:rsidRPr="0076497B">
              <w:rPr>
                <w:rFonts w:ascii="Times New Roman" w:eastAsia="Times New Roman" w:hAnsi="Times New Roman" w:cs="Times New Roman"/>
                <w:color w:val="555555"/>
                <w:sz w:val="24"/>
                <w:szCs w:val="24"/>
                <w:lang w:eastAsia="uk-UA"/>
              </w:rPr>
              <w:lastRenderedPageBreak/>
              <w:t>інших  олімпіадах, конкурсах</w:t>
            </w:r>
          </w:p>
        </w:tc>
        <w:tc>
          <w:tcPr>
            <w:tcW w:w="208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lastRenderedPageBreak/>
              <w:t>Оргкомітет, журі</w:t>
            </w:r>
          </w:p>
        </w:tc>
      </w:tr>
      <w:tr w:rsidR="0076497B" w:rsidRPr="0076497B" w:rsidTr="0076497B">
        <w:tc>
          <w:tcPr>
            <w:tcW w:w="184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lastRenderedPageBreak/>
              <w:t>Необ’єктивне</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оцінювання результатів навчання здобувачів</w:t>
            </w:r>
          </w:p>
        </w:tc>
        <w:tc>
          <w:tcPr>
            <w:tcW w:w="156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Педагогічні працівники</w:t>
            </w:r>
          </w:p>
        </w:tc>
        <w:tc>
          <w:tcPr>
            <w:tcW w:w="2130"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Свідоме завищення або заниження оцінки результатів навчання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-усні відповіді;</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-домашні роботи;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-контрольні роботи;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-лабораторні та</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практичні роботи;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-ДПА;</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-тематичне оцінювання;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 моніторинги;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-олімпіадні та конкурсні роботи</w:t>
            </w:r>
          </w:p>
        </w:tc>
        <w:tc>
          <w:tcPr>
            <w:tcW w:w="226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208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Адміністрація школи, атестаційні  комісії усіх рівнів</w:t>
            </w:r>
          </w:p>
        </w:tc>
      </w:tr>
      <w:tr w:rsidR="0076497B" w:rsidRPr="0076497B" w:rsidTr="0076497B">
        <w:tc>
          <w:tcPr>
            <w:tcW w:w="184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Обман:</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Фальсифікація</w:t>
            </w:r>
          </w:p>
        </w:tc>
        <w:tc>
          <w:tcPr>
            <w:tcW w:w="1560" w:type="dxa"/>
            <w:vMerge w:val="restart"/>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Педагогічні працівники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b/>
                <w:bCs/>
                <w:color w:val="555555"/>
                <w:sz w:val="24"/>
                <w:szCs w:val="24"/>
                <w:bdr w:val="none" w:sz="0" w:space="0" w:color="auto" w:frame="1"/>
                <w:lang w:eastAsia="uk-UA"/>
              </w:rPr>
              <w:t>як автори</w:t>
            </w:r>
          </w:p>
        </w:tc>
        <w:tc>
          <w:tcPr>
            <w:tcW w:w="2130" w:type="dxa"/>
            <w:vMerge w:val="restart"/>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Навчально-методичні освітні продукти, створені педагогічними працівниками: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-методичні рекомендації;</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-навчальний посібник;</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-навчально-методичний посібник</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-наочний посібник;</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-практичний посібник;</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-навчальний наочний посібник;</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-збірка;</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-методична збірка</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-методичний вісник;</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-стаття;</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-методична розробка</w:t>
            </w:r>
          </w:p>
        </w:tc>
        <w:tc>
          <w:tcPr>
            <w:tcW w:w="2265" w:type="dxa"/>
            <w:vMerge w:val="restart"/>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У випадку встановлення порушень такого порядку:</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є підставою для відмови в присвоєнні або позбавлені раніше присвоєного педагогічного звання, кваліфікаційної категорії</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позбавлення педагогічного працівника І,ІІ кваліфікаційної категорії</w:t>
            </w:r>
          </w:p>
        </w:tc>
        <w:tc>
          <w:tcPr>
            <w:tcW w:w="2085" w:type="dxa"/>
            <w:vMerge w:val="restart"/>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Педагогічна та методичні  ради</w:t>
            </w:r>
          </w:p>
          <w:p w:rsidR="0076497B" w:rsidRPr="0076497B" w:rsidRDefault="0076497B" w:rsidP="0076497B">
            <w:pPr>
              <w:spacing w:after="0" w:line="240" w:lineRule="auto"/>
              <w:jc w:val="both"/>
              <w:textAlignment w:val="baseline"/>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школи, атестаційні комісії школи</w:t>
            </w:r>
          </w:p>
        </w:tc>
      </w:tr>
      <w:tr w:rsidR="0076497B" w:rsidRPr="0076497B" w:rsidTr="0076497B">
        <w:tc>
          <w:tcPr>
            <w:tcW w:w="184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Фабрикація</w:t>
            </w: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r>
      <w:tr w:rsidR="0076497B" w:rsidRPr="0076497B" w:rsidTr="0076497B">
        <w:tc>
          <w:tcPr>
            <w:tcW w:w="1845" w:type="dxa"/>
            <w:tcBorders>
              <w:top w:val="single" w:sz="6" w:space="0" w:color="49AFCD"/>
              <w:left w:val="single" w:sz="6" w:space="0" w:color="49AFCD"/>
              <w:bottom w:val="single" w:sz="6" w:space="0" w:color="49AFCD"/>
              <w:right w:val="single" w:sz="6" w:space="0" w:color="49AFCD"/>
            </w:tcBorders>
            <w:shd w:val="clear" w:color="auto" w:fill="FFFFFF"/>
            <w:tcMar>
              <w:top w:w="75" w:type="dxa"/>
              <w:left w:w="75" w:type="dxa"/>
              <w:bottom w:w="75" w:type="dxa"/>
              <w:right w:w="75" w:type="dxa"/>
            </w:tcMar>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r w:rsidRPr="0076497B">
              <w:rPr>
                <w:rFonts w:ascii="Times New Roman" w:eastAsia="Times New Roman" w:hAnsi="Times New Roman" w:cs="Times New Roman"/>
                <w:color w:val="555555"/>
                <w:sz w:val="24"/>
                <w:szCs w:val="24"/>
                <w:lang w:eastAsia="uk-UA"/>
              </w:rPr>
              <w:t>Плагіат</w:t>
            </w: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c>
          <w:tcPr>
            <w:tcW w:w="0" w:type="auto"/>
            <w:vMerge/>
            <w:tcBorders>
              <w:top w:val="single" w:sz="6" w:space="0" w:color="49AFCD"/>
              <w:left w:val="single" w:sz="6" w:space="0" w:color="49AFCD"/>
              <w:bottom w:val="single" w:sz="6" w:space="0" w:color="49AFCD"/>
              <w:right w:val="single" w:sz="6" w:space="0" w:color="49AFCD"/>
            </w:tcBorders>
            <w:shd w:val="clear" w:color="auto" w:fill="FFFFFF"/>
            <w:vAlign w:val="bottom"/>
            <w:hideMark/>
          </w:tcPr>
          <w:p w:rsidR="0076497B" w:rsidRPr="0076497B" w:rsidRDefault="0076497B" w:rsidP="0076497B">
            <w:pPr>
              <w:spacing w:after="0" w:line="240" w:lineRule="auto"/>
              <w:jc w:val="both"/>
              <w:rPr>
                <w:rFonts w:ascii="Times New Roman" w:eastAsia="Times New Roman" w:hAnsi="Times New Roman" w:cs="Times New Roman"/>
                <w:color w:val="555555"/>
                <w:sz w:val="24"/>
                <w:szCs w:val="24"/>
                <w:lang w:eastAsia="uk-UA"/>
              </w:rPr>
            </w:pPr>
          </w:p>
        </w:tc>
      </w:tr>
    </w:tbl>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lastRenderedPageBreak/>
        <w:br/>
        <w:t>V. Комісія з питань академічної доброчесності та етики педагогічних працівників</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5.1. Комісія</w:t>
      </w:r>
      <w:r w:rsidRPr="0076497B">
        <w:rPr>
          <w:rFonts w:ascii="Times New Roman" w:eastAsia="Times New Roman" w:hAnsi="Times New Roman" w:cs="Times New Roman"/>
          <w:b/>
          <w:bCs/>
          <w:color w:val="555555"/>
          <w:sz w:val="28"/>
          <w:szCs w:val="28"/>
          <w:bdr w:val="none" w:sz="0" w:space="0" w:color="auto" w:frame="1"/>
          <w:lang w:eastAsia="uk-UA"/>
        </w:rPr>
        <w:t> </w:t>
      </w:r>
      <w:r w:rsidRPr="0076497B">
        <w:rPr>
          <w:rFonts w:ascii="Times New Roman" w:eastAsia="Times New Roman" w:hAnsi="Times New Roman" w:cs="Times New Roman"/>
          <w:color w:val="555555"/>
          <w:sz w:val="28"/>
          <w:szCs w:val="28"/>
          <w:lang w:eastAsia="uk-UA"/>
        </w:rPr>
        <w:t>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 До складу Комісії входять представники педагогічного колективу, батьківської громади ( за згодою).</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5.2.1. Персональний склад  Комісії затверджується рішенням педагогічної ради.</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5.2.2. Голова, заступник голови та секретар Комісії обираються з числа осіб, що входять до неї.</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5.2.3. Голова веде засідання, підписує протоколи та рішення тощо.</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5.2.4. За відсутності голови Комісії його обов’язки виконує заступник.</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5.2.5. Секретар Комісії здійснює повноваження щодо ведення протоколу засідання, технічної підготовки матеріалів до розгляду їх на засіданні тощо.</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5.2.6</w:t>
      </w:r>
      <w:r>
        <w:rPr>
          <w:rFonts w:ascii="Times New Roman" w:eastAsia="Times New Roman" w:hAnsi="Times New Roman" w:cs="Times New Roman"/>
          <w:color w:val="555555"/>
          <w:sz w:val="28"/>
          <w:szCs w:val="28"/>
          <w:lang w:eastAsia="uk-UA"/>
        </w:rPr>
        <w:t>. Термін повноважень Комісії – 3</w:t>
      </w:r>
      <w:r w:rsidRPr="0076497B">
        <w:rPr>
          <w:rFonts w:ascii="Times New Roman" w:eastAsia="Times New Roman" w:hAnsi="Times New Roman" w:cs="Times New Roman"/>
          <w:color w:val="555555"/>
          <w:sz w:val="28"/>
          <w:szCs w:val="28"/>
          <w:lang w:eastAsia="uk-UA"/>
        </w:rPr>
        <w:t xml:space="preserve"> рік</w:t>
      </w:r>
      <w:r>
        <w:rPr>
          <w:rFonts w:ascii="Times New Roman" w:eastAsia="Times New Roman" w:hAnsi="Times New Roman" w:cs="Times New Roman"/>
          <w:color w:val="555555"/>
          <w:sz w:val="28"/>
          <w:szCs w:val="28"/>
          <w:lang w:eastAsia="uk-UA"/>
        </w:rPr>
        <w:t>и</w:t>
      </w:r>
      <w:r w:rsidRPr="0076497B">
        <w:rPr>
          <w:rFonts w:ascii="Times New Roman" w:eastAsia="Times New Roman" w:hAnsi="Times New Roman" w:cs="Times New Roman"/>
          <w:color w:val="555555"/>
          <w:sz w:val="28"/>
          <w:szCs w:val="28"/>
          <w:lang w:eastAsia="uk-UA"/>
        </w:rPr>
        <w:t>.</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5.4. Комісія має такі повноваження:</w:t>
      </w:r>
    </w:p>
    <w:p w:rsidR="0076497B" w:rsidRPr="0076497B" w:rsidRDefault="0076497B" w:rsidP="0076497B">
      <w:pPr>
        <w:numPr>
          <w:ilvl w:val="0"/>
          <w:numId w:val="5"/>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Виявляти та встановлювати факти порушення академічної доброчесності учасників освітнього процесу школи.</w:t>
      </w:r>
    </w:p>
    <w:p w:rsidR="0076497B" w:rsidRPr="0076497B" w:rsidRDefault="0076497B" w:rsidP="0076497B">
      <w:pPr>
        <w:numPr>
          <w:ilvl w:val="0"/>
          <w:numId w:val="5"/>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Проводити інформаційну роботу щодо популяризації принципів академічної доброчесності серед учасників освітнього процесу.</w:t>
      </w:r>
    </w:p>
    <w:p w:rsidR="0076497B" w:rsidRPr="0076497B" w:rsidRDefault="0076497B" w:rsidP="0076497B">
      <w:pPr>
        <w:numPr>
          <w:ilvl w:val="0"/>
          <w:numId w:val="5"/>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школи.</w:t>
      </w:r>
    </w:p>
    <w:p w:rsidR="0076497B" w:rsidRPr="0076497B" w:rsidRDefault="0076497B" w:rsidP="0076497B">
      <w:pPr>
        <w:numPr>
          <w:ilvl w:val="0"/>
          <w:numId w:val="5"/>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школи.</w:t>
      </w:r>
    </w:p>
    <w:p w:rsidR="0076497B" w:rsidRPr="0076497B" w:rsidRDefault="0076497B" w:rsidP="0076497B">
      <w:pPr>
        <w:numPr>
          <w:ilvl w:val="0"/>
          <w:numId w:val="5"/>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76497B" w:rsidRPr="0076497B" w:rsidRDefault="0076497B" w:rsidP="0076497B">
      <w:pPr>
        <w:numPr>
          <w:ilvl w:val="0"/>
          <w:numId w:val="5"/>
        </w:numPr>
        <w:shd w:val="clear" w:color="auto" w:fill="FFFFFF"/>
        <w:spacing w:after="0" w:line="240" w:lineRule="auto"/>
        <w:ind w:left="0" w:right="300"/>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Доводити результати розгляду заяв щодо порушення академічної доброчесності до відома директора школи для подальшого реагування.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lastRenderedPageBreak/>
        <w:t>5.5. Свої повноваження Комісія здійснює за умови, що кількість її членів, присутніх на засіданні, складатиме не менше ніж дві третини її складу.</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5.6. Комісія звітує про свою роботу двічі на рік.</w:t>
      </w:r>
    </w:p>
    <w:p w:rsidR="0076497B" w:rsidRPr="0076497B" w:rsidRDefault="0076497B" w:rsidP="0076497B">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b/>
          <w:bCs/>
          <w:color w:val="555555"/>
          <w:sz w:val="28"/>
          <w:szCs w:val="28"/>
          <w:bdr w:val="none" w:sz="0" w:space="0" w:color="auto" w:frame="1"/>
          <w:lang w:eastAsia="uk-UA"/>
        </w:rPr>
        <w:t>VI. Прикінцеві положення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6.1. Положення ухвалюється педагогічною радою школи більшістю голосів і набирає чинності з моменту схвалення.</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rsidR="0076497B" w:rsidRPr="0076497B" w:rsidRDefault="0076497B" w:rsidP="0076497B">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uk-UA"/>
        </w:rPr>
      </w:pPr>
      <w:r w:rsidRPr="0076497B">
        <w:rPr>
          <w:rFonts w:ascii="Times New Roman" w:eastAsia="Times New Roman" w:hAnsi="Times New Roman" w:cs="Times New Roman"/>
          <w:color w:val="555555"/>
          <w:sz w:val="28"/>
          <w:szCs w:val="28"/>
          <w:lang w:eastAsia="uk-UA"/>
        </w:rPr>
        <w:t>6.3.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rsidR="00CD72FF" w:rsidRPr="0076497B" w:rsidRDefault="00CD72FF" w:rsidP="0076497B">
      <w:pPr>
        <w:jc w:val="both"/>
        <w:rPr>
          <w:rFonts w:ascii="Times New Roman" w:hAnsi="Times New Roman" w:cs="Times New Roman"/>
          <w:sz w:val="28"/>
          <w:szCs w:val="28"/>
        </w:rPr>
      </w:pPr>
    </w:p>
    <w:sectPr w:rsidR="00CD72FF" w:rsidRPr="007649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052"/>
    <w:multiLevelType w:val="multilevel"/>
    <w:tmpl w:val="7B2A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8E1516"/>
    <w:multiLevelType w:val="multilevel"/>
    <w:tmpl w:val="674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B10AD1"/>
    <w:multiLevelType w:val="multilevel"/>
    <w:tmpl w:val="5FEA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AB6982"/>
    <w:multiLevelType w:val="multilevel"/>
    <w:tmpl w:val="B80C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F63D83"/>
    <w:multiLevelType w:val="multilevel"/>
    <w:tmpl w:val="06EC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FE"/>
    <w:rsid w:val="006F6F56"/>
    <w:rsid w:val="0076497B"/>
    <w:rsid w:val="008E61FE"/>
    <w:rsid w:val="00B61DC0"/>
    <w:rsid w:val="00C02261"/>
    <w:rsid w:val="00CD72FF"/>
    <w:rsid w:val="00E53667"/>
    <w:rsid w:val="00F8025C"/>
    <w:rsid w:val="00F8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8280</Words>
  <Characters>4720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2021-03-24T13:34:00Z</dcterms:created>
  <dcterms:modified xsi:type="dcterms:W3CDTF">2023-12-04T12:06:00Z</dcterms:modified>
</cp:coreProperties>
</file>